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2D239A">
        <w:rPr>
          <w:b/>
          <w:bCs/>
          <w:sz w:val="20"/>
        </w:rPr>
        <w:t xml:space="preserve"> </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przy kontrasygnacie Skarbnika Gminy – Pan</w:t>
      </w:r>
      <w:r w:rsidR="0094767A">
        <w:rPr>
          <w:sz w:val="20"/>
        </w:rPr>
        <w:t>i Marzeny Kujawy</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B14BB0" w:rsidRDefault="00EF11A0" w:rsidP="00805234">
      <w:pPr>
        <w:jc w:val="both"/>
        <w:rPr>
          <w:b/>
          <w:bCs/>
          <w:iCs/>
        </w:rPr>
      </w:pPr>
      <w:r w:rsidRPr="005F30EB">
        <w:t xml:space="preserve">Zamawiający zleca, a Wykonawca przyjmuje do wykonania zamówienie pn.: </w:t>
      </w:r>
      <w:r w:rsidRPr="005F30EB">
        <w:rPr>
          <w:b/>
          <w:bCs/>
          <w:iCs/>
        </w:rPr>
        <w:t>„</w:t>
      </w:r>
      <w:r w:rsidR="00805234" w:rsidRPr="00805234">
        <w:rPr>
          <w:b/>
          <w:bCs/>
          <w:iCs/>
        </w:rPr>
        <w:t>Przebudowa drogi g</w:t>
      </w:r>
      <w:r w:rsidR="00805234">
        <w:rPr>
          <w:b/>
          <w:bCs/>
          <w:iCs/>
        </w:rPr>
        <w:t xml:space="preserve">minnej </w:t>
      </w:r>
      <w:r w:rsidR="00895E33">
        <w:rPr>
          <w:b/>
          <w:bCs/>
          <w:iCs/>
        </w:rPr>
        <w:br/>
      </w:r>
      <w:bookmarkStart w:id="0" w:name="_GoBack"/>
      <w:bookmarkEnd w:id="0"/>
      <w:r w:rsidR="00805234">
        <w:rPr>
          <w:b/>
          <w:bCs/>
          <w:iCs/>
        </w:rPr>
        <w:t xml:space="preserve">w miejscowości Lubowidz </w:t>
      </w:r>
      <w:r w:rsidR="00805234" w:rsidRPr="00805234">
        <w:rPr>
          <w:b/>
          <w:bCs/>
          <w:iCs/>
        </w:rPr>
        <w:t>od ulicy Leśnej do skrzyżowania ulic Słonecznej i Kwiatowej</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w:t>
      </w:r>
      <w:r w:rsidR="00BB0FB6">
        <w:rPr>
          <w:rFonts w:ascii="Times New Roman" w:hAnsi="Times New Roman"/>
          <w:sz w:val="20"/>
          <w:szCs w:val="20"/>
        </w:rPr>
        <w:t xml:space="preserve">iającemu kosztorys powykonawczy, wymagane atesty i certyfikaty użytych materiałów.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67789A" w:rsidRPr="0067789A" w:rsidRDefault="0067789A" w:rsidP="0067789A">
      <w:pPr>
        <w:pStyle w:val="p"/>
        <w:ind w:left="284"/>
        <w:jc w:val="both"/>
        <w:rPr>
          <w:rFonts w:ascii="Times New Roman" w:hAnsi="Times New Roman" w:cs="Times New Roman"/>
          <w:sz w:val="20"/>
          <w:szCs w:val="20"/>
        </w:rPr>
      </w:pPr>
      <w:r>
        <w:rPr>
          <w:rFonts w:ascii="Times New Roman" w:hAnsi="Times New Roman" w:cs="Times New Roman"/>
          <w:sz w:val="20"/>
          <w:szCs w:val="20"/>
        </w:rPr>
        <w:t xml:space="preserve">- </w:t>
      </w:r>
      <w:r w:rsidRPr="0067789A">
        <w:rPr>
          <w:rFonts w:ascii="Times New Roman" w:hAnsi="Times New Roman" w:cs="Times New Roman"/>
          <w:sz w:val="20"/>
          <w:szCs w:val="20"/>
        </w:rPr>
        <w:t>Roboty przygotowawcze i rozbiórkowe,</w:t>
      </w:r>
    </w:p>
    <w:p w:rsidR="0067789A" w:rsidRPr="0067789A" w:rsidRDefault="0067789A" w:rsidP="0067789A">
      <w:pPr>
        <w:pStyle w:val="p"/>
        <w:ind w:left="284"/>
        <w:jc w:val="both"/>
        <w:rPr>
          <w:rFonts w:ascii="Times New Roman" w:hAnsi="Times New Roman" w:cs="Times New Roman"/>
          <w:sz w:val="20"/>
          <w:szCs w:val="20"/>
        </w:rPr>
      </w:pPr>
      <w:r w:rsidRPr="0067789A">
        <w:rPr>
          <w:rFonts w:ascii="Times New Roman" w:hAnsi="Times New Roman" w:cs="Times New Roman"/>
          <w:sz w:val="20"/>
          <w:szCs w:val="20"/>
        </w:rPr>
        <w:t>- Roboty ziemne,</w:t>
      </w:r>
    </w:p>
    <w:p w:rsidR="0067789A" w:rsidRPr="0067789A" w:rsidRDefault="0067789A" w:rsidP="0067789A">
      <w:pPr>
        <w:pStyle w:val="p"/>
        <w:ind w:left="284"/>
        <w:jc w:val="both"/>
        <w:rPr>
          <w:rFonts w:ascii="Times New Roman" w:hAnsi="Times New Roman" w:cs="Times New Roman"/>
          <w:sz w:val="20"/>
          <w:szCs w:val="20"/>
        </w:rPr>
      </w:pPr>
      <w:r w:rsidRPr="0067789A">
        <w:rPr>
          <w:rFonts w:ascii="Times New Roman" w:hAnsi="Times New Roman" w:cs="Times New Roman"/>
          <w:sz w:val="20"/>
          <w:szCs w:val="20"/>
        </w:rPr>
        <w:t>- Odwodnienie dróg,</w:t>
      </w:r>
    </w:p>
    <w:p w:rsidR="0067789A" w:rsidRPr="0067789A" w:rsidRDefault="0067789A" w:rsidP="0067789A">
      <w:pPr>
        <w:pStyle w:val="p"/>
        <w:ind w:left="284"/>
        <w:jc w:val="both"/>
        <w:rPr>
          <w:rFonts w:ascii="Times New Roman" w:hAnsi="Times New Roman" w:cs="Times New Roman"/>
          <w:sz w:val="20"/>
          <w:szCs w:val="20"/>
        </w:rPr>
      </w:pPr>
      <w:r w:rsidRPr="0067789A">
        <w:rPr>
          <w:rFonts w:ascii="Times New Roman" w:hAnsi="Times New Roman" w:cs="Times New Roman"/>
          <w:sz w:val="20"/>
          <w:szCs w:val="20"/>
        </w:rPr>
        <w:t>- Profilowanie i zagęszczenie podłoża,</w:t>
      </w:r>
    </w:p>
    <w:p w:rsidR="0067789A" w:rsidRDefault="0067789A" w:rsidP="0067789A">
      <w:pPr>
        <w:pStyle w:val="p"/>
        <w:ind w:left="284"/>
        <w:jc w:val="both"/>
        <w:rPr>
          <w:rFonts w:ascii="Times New Roman" w:hAnsi="Times New Roman" w:cs="Times New Roman"/>
          <w:sz w:val="20"/>
          <w:szCs w:val="20"/>
        </w:rPr>
      </w:pPr>
      <w:r w:rsidRPr="0067789A">
        <w:rPr>
          <w:rFonts w:ascii="Times New Roman" w:hAnsi="Times New Roman" w:cs="Times New Roman"/>
          <w:sz w:val="20"/>
          <w:szCs w:val="20"/>
        </w:rPr>
        <w:t>- Wykonanie nawierzchni.</w:t>
      </w:r>
    </w:p>
    <w:p w:rsidR="00C67EC7" w:rsidRPr="00C67EC7" w:rsidRDefault="00C67EC7" w:rsidP="004C5BA8">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BD13DE">
      <w:pPr>
        <w:pStyle w:val="p"/>
        <w:ind w:left="426" w:hanging="142"/>
        <w:jc w:val="both"/>
        <w:rPr>
          <w:rFonts w:ascii="Times New Roman" w:hAnsi="Times New Roman" w:cs="Times New Roman"/>
          <w:sz w:val="20"/>
          <w:szCs w:val="20"/>
        </w:rPr>
      </w:pPr>
      <w:r w:rsidRPr="00C67EC7">
        <w:rPr>
          <w:rFonts w:ascii="Times New Roman" w:hAnsi="Times New Roman" w:cs="Times New Roman"/>
          <w:sz w:val="20"/>
          <w:szCs w:val="20"/>
        </w:rPr>
        <w:t xml:space="preserve">- </w:t>
      </w:r>
      <w:r w:rsidR="00BD13DE" w:rsidRPr="00BD13DE">
        <w:rPr>
          <w:rFonts w:ascii="Times New Roman" w:hAnsi="Times New Roman" w:cs="Times New Roman"/>
          <w:sz w:val="20"/>
          <w:szCs w:val="20"/>
        </w:rPr>
        <w:t xml:space="preserve">oświadczenie wykonawcy lub podwykonawcy o zatrudnieniu na podstawie umowy o pracę osób wykonujących wskazane czynności. Oświadczenie to powinno zawierać w szczególności: dokładne określenie podmiotu składającego oświadczenie, datę złożenia oświadczenia, wskazanie, że  wymienione czynności wykonują osoby zatrudnione na podstawie umowy o pracę wraz ze wskazaniem liczby tych osób, rodzaju umowy o pracę i wymiaru etatu oraz podpis osoby uprawnionej do złożenia oświadczenia </w:t>
      </w:r>
      <w:r w:rsidR="001A2FB0">
        <w:rPr>
          <w:rFonts w:ascii="Times New Roman" w:hAnsi="Times New Roman" w:cs="Times New Roman"/>
          <w:sz w:val="20"/>
          <w:szCs w:val="20"/>
        </w:rPr>
        <w:br/>
      </w:r>
      <w:r w:rsidR="00BD13DE" w:rsidRPr="00BD13DE">
        <w:rPr>
          <w:rFonts w:ascii="Times New Roman" w:hAnsi="Times New Roman" w:cs="Times New Roman"/>
          <w:sz w:val="20"/>
          <w:szCs w:val="20"/>
        </w:rPr>
        <w:t>w imieniu wykonawcy lub podwykonawcy;</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Wykonawcy terenu budowy najpóźniej w terminie 3 dni od dnia podpisania umowy.</w:t>
      </w:r>
    </w:p>
    <w:p w:rsidR="00EF11A0" w:rsidRPr="009A5210" w:rsidRDefault="00EF11A0" w:rsidP="00EF11A0">
      <w:pPr>
        <w:numPr>
          <w:ilvl w:val="0"/>
          <w:numId w:val="3"/>
        </w:numPr>
        <w:ind w:left="284" w:hanging="284"/>
        <w:jc w:val="both"/>
        <w:rPr>
          <w:bCs/>
        </w:rPr>
      </w:pPr>
      <w:r w:rsidRPr="009A5210">
        <w:t xml:space="preserve">Dostarczenia Wykonawcy najpóźniej w terminie 3 dni od dnia podpisania umowy, dokumentacji projektowej oraz </w:t>
      </w:r>
      <w:proofErr w:type="spellStart"/>
      <w:r w:rsidRPr="009A5210">
        <w:t>STWiORB</w:t>
      </w:r>
      <w:proofErr w:type="spellEnd"/>
      <w:r w:rsidRPr="009A5210">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lastRenderedPageBreak/>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4F4ABD" w:rsidRDefault="00EF11A0" w:rsidP="00EF11A0">
      <w:pPr>
        <w:pStyle w:val="Tekstpodstawowy3"/>
        <w:numPr>
          <w:ilvl w:val="0"/>
          <w:numId w:val="6"/>
        </w:numPr>
        <w:spacing w:after="0"/>
        <w:ind w:left="284" w:hanging="284"/>
        <w:jc w:val="both"/>
        <w:rPr>
          <w:sz w:val="20"/>
          <w:szCs w:val="20"/>
        </w:rPr>
      </w:pPr>
      <w:r w:rsidRPr="004F4ABD">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w:t>
      </w:r>
      <w:r w:rsidR="00BB0FB6">
        <w:rPr>
          <w:sz w:val="20"/>
          <w:szCs w:val="20"/>
        </w:rPr>
        <w:t>bioru przedmiotu umowy w ciągu 7</w:t>
      </w:r>
      <w:r w:rsidRPr="005F30EB">
        <w:rPr>
          <w:sz w:val="20"/>
          <w:szCs w:val="20"/>
        </w:rPr>
        <w:t xml:space="preserve">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0976B3">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w:t>
      </w:r>
      <w:r w:rsidR="000976B3" w:rsidRPr="000976B3">
        <w:t xml:space="preserve"> </w:t>
      </w:r>
      <w:r w:rsidR="000976B3" w:rsidRPr="000976B3">
        <w:rPr>
          <w:b/>
          <w:bCs/>
        </w:rPr>
        <w:t>złotych ………. gr</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BE5B01">
      <w:pPr>
        <w:numPr>
          <w:ilvl w:val="0"/>
          <w:numId w:val="7"/>
        </w:numPr>
        <w:tabs>
          <w:tab w:val="left" w:pos="284"/>
        </w:tabs>
        <w:ind w:left="284" w:hanging="284"/>
        <w:jc w:val="both"/>
      </w:pPr>
      <w:r w:rsidRPr="005F30EB">
        <w:rPr>
          <w:bCs/>
        </w:rPr>
        <w:t xml:space="preserve">Wynagrodzenie, o jakim mowa w ust. 1 płatne będzie jednorazowo na podstawie </w:t>
      </w:r>
      <w:r w:rsidR="00EE4F45">
        <w:rPr>
          <w:bCs/>
        </w:rPr>
        <w:t>jednej</w:t>
      </w:r>
      <w:r w:rsidR="00763EE5">
        <w:rPr>
          <w:bCs/>
        </w:rPr>
        <w:t xml:space="preserve"> faktur</w:t>
      </w:r>
      <w:r w:rsidR="00EE4F45">
        <w:rPr>
          <w:bCs/>
        </w:rPr>
        <w:t>y</w:t>
      </w:r>
      <w:r w:rsidRPr="005F30EB">
        <w:rPr>
          <w:bCs/>
        </w:rPr>
        <w:t xml:space="preserve"> VAT</w:t>
      </w:r>
      <w:r w:rsidR="00763EE5" w:rsidRPr="00BE5B01">
        <w:rPr>
          <w:bCs/>
        </w:rPr>
        <w:t>, wystawione</w:t>
      </w:r>
      <w:r w:rsidR="00EE4F45">
        <w:rPr>
          <w:bCs/>
        </w:rPr>
        <w:t>j</w:t>
      </w:r>
      <w:r w:rsidRPr="00BE5B01">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lastRenderedPageBreak/>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lastRenderedPageBreak/>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Przed dokonaniem bezpośredniej zapłaty zamawiający umożliwi wykonawcy zgłoszenie pisemnych uwag dotyczących zasadności bezpośredniej zapłaty wynagrodzenia podwykonawcy lub dalszemu 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lastRenderedPageBreak/>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w:t>
      </w:r>
      <w:r w:rsidR="00292E1D">
        <w:rPr>
          <w:sz w:val="20"/>
          <w:lang w:eastAsia="en-US"/>
        </w:rPr>
        <w:t>nawcę kary umownej w wysokości 3</w:t>
      </w:r>
      <w:r w:rsidRPr="009A74EA">
        <w:rPr>
          <w:sz w:val="20"/>
          <w:lang w:eastAsia="en-US"/>
        </w:rPr>
        <w:t xml:space="preserve">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lastRenderedPageBreak/>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lastRenderedPageBreak/>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lastRenderedPageBreak/>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t xml:space="preserve">a) 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00D" w:rsidRDefault="002F700D" w:rsidP="00E1134B">
      <w:r>
        <w:separator/>
      </w:r>
    </w:p>
  </w:endnote>
  <w:endnote w:type="continuationSeparator" w:id="0">
    <w:p w:rsidR="002F700D" w:rsidRDefault="002F700D"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895E33">
          <w:rPr>
            <w:noProof/>
          </w:rPr>
          <w:t>1</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00D" w:rsidRDefault="002F700D" w:rsidP="00E1134B">
      <w:r>
        <w:separator/>
      </w:r>
    </w:p>
  </w:footnote>
  <w:footnote w:type="continuationSeparator" w:id="0">
    <w:p w:rsidR="002F700D" w:rsidRDefault="002F700D"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1A0"/>
    <w:rsid w:val="00002C9F"/>
    <w:rsid w:val="00040BD4"/>
    <w:rsid w:val="0007421B"/>
    <w:rsid w:val="00082962"/>
    <w:rsid w:val="000976B3"/>
    <w:rsid w:val="001358BD"/>
    <w:rsid w:val="001446CD"/>
    <w:rsid w:val="00144E0F"/>
    <w:rsid w:val="00145492"/>
    <w:rsid w:val="00195BF4"/>
    <w:rsid w:val="001A2FB0"/>
    <w:rsid w:val="001D4792"/>
    <w:rsid w:val="00205E9D"/>
    <w:rsid w:val="00213780"/>
    <w:rsid w:val="002406DD"/>
    <w:rsid w:val="002513E8"/>
    <w:rsid w:val="00292E1D"/>
    <w:rsid w:val="002B0470"/>
    <w:rsid w:val="002D239A"/>
    <w:rsid w:val="002F4187"/>
    <w:rsid w:val="002F5B24"/>
    <w:rsid w:val="002F700D"/>
    <w:rsid w:val="00323467"/>
    <w:rsid w:val="00323D8B"/>
    <w:rsid w:val="0032676F"/>
    <w:rsid w:val="003322B8"/>
    <w:rsid w:val="00336E86"/>
    <w:rsid w:val="00340D97"/>
    <w:rsid w:val="00371BCF"/>
    <w:rsid w:val="00385918"/>
    <w:rsid w:val="00390CD6"/>
    <w:rsid w:val="003B55EC"/>
    <w:rsid w:val="003D2539"/>
    <w:rsid w:val="003F378C"/>
    <w:rsid w:val="00414390"/>
    <w:rsid w:val="004C29AD"/>
    <w:rsid w:val="004C5BA8"/>
    <w:rsid w:val="004E4F3A"/>
    <w:rsid w:val="004F4ABD"/>
    <w:rsid w:val="004F6482"/>
    <w:rsid w:val="005010D5"/>
    <w:rsid w:val="00502532"/>
    <w:rsid w:val="00506525"/>
    <w:rsid w:val="00516DBA"/>
    <w:rsid w:val="005258F6"/>
    <w:rsid w:val="005B2234"/>
    <w:rsid w:val="005B4FB5"/>
    <w:rsid w:val="005F30EB"/>
    <w:rsid w:val="006048C5"/>
    <w:rsid w:val="006132CF"/>
    <w:rsid w:val="0066004E"/>
    <w:rsid w:val="0067789A"/>
    <w:rsid w:val="00691532"/>
    <w:rsid w:val="00693EF0"/>
    <w:rsid w:val="007529B0"/>
    <w:rsid w:val="00763EE5"/>
    <w:rsid w:val="00787592"/>
    <w:rsid w:val="007A5330"/>
    <w:rsid w:val="007E5B4E"/>
    <w:rsid w:val="007F5D37"/>
    <w:rsid w:val="00805234"/>
    <w:rsid w:val="00816A53"/>
    <w:rsid w:val="00841844"/>
    <w:rsid w:val="00895E33"/>
    <w:rsid w:val="008C0607"/>
    <w:rsid w:val="00922C45"/>
    <w:rsid w:val="00944A93"/>
    <w:rsid w:val="0094767A"/>
    <w:rsid w:val="00981B5B"/>
    <w:rsid w:val="00994403"/>
    <w:rsid w:val="009A0E3C"/>
    <w:rsid w:val="009A4DB4"/>
    <w:rsid w:val="009A5210"/>
    <w:rsid w:val="009A74EA"/>
    <w:rsid w:val="009B37A2"/>
    <w:rsid w:val="00A11CDB"/>
    <w:rsid w:val="00A2013D"/>
    <w:rsid w:val="00A241E4"/>
    <w:rsid w:val="00A33615"/>
    <w:rsid w:val="00A428B5"/>
    <w:rsid w:val="00A767C7"/>
    <w:rsid w:val="00AA3DAC"/>
    <w:rsid w:val="00AD6B41"/>
    <w:rsid w:val="00AF2469"/>
    <w:rsid w:val="00B14BB0"/>
    <w:rsid w:val="00B80A99"/>
    <w:rsid w:val="00B84728"/>
    <w:rsid w:val="00B909F4"/>
    <w:rsid w:val="00B971B6"/>
    <w:rsid w:val="00BB0FB6"/>
    <w:rsid w:val="00BB45CF"/>
    <w:rsid w:val="00BD13DE"/>
    <w:rsid w:val="00BE5B01"/>
    <w:rsid w:val="00BF4868"/>
    <w:rsid w:val="00C67EC7"/>
    <w:rsid w:val="00CE3555"/>
    <w:rsid w:val="00D946D3"/>
    <w:rsid w:val="00E1134B"/>
    <w:rsid w:val="00E43754"/>
    <w:rsid w:val="00E81653"/>
    <w:rsid w:val="00EE0BD0"/>
    <w:rsid w:val="00EE4F45"/>
    <w:rsid w:val="00EF11A0"/>
    <w:rsid w:val="00EF68F2"/>
    <w:rsid w:val="00F0215A"/>
    <w:rsid w:val="00F02F29"/>
    <w:rsid w:val="00F110D7"/>
    <w:rsid w:val="00F111F1"/>
    <w:rsid w:val="00F165AD"/>
    <w:rsid w:val="00F25B9B"/>
    <w:rsid w:val="00F57C80"/>
    <w:rsid w:val="00F95FC6"/>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482E1-D6C3-433F-8AE2-3A44B243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9</Pages>
  <Words>5159</Words>
  <Characters>30956</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55</cp:revision>
  <cp:lastPrinted>2018-07-05T05:47:00Z</cp:lastPrinted>
  <dcterms:created xsi:type="dcterms:W3CDTF">2017-04-27T08:39:00Z</dcterms:created>
  <dcterms:modified xsi:type="dcterms:W3CDTF">2018-09-03T07:53:00Z</dcterms:modified>
</cp:coreProperties>
</file>